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0244B654" wp14:editId="211367EB">
            <wp:extent cx="5829300" cy="3990975"/>
            <wp:effectExtent l="0" t="0" r="0" b="9525"/>
            <wp:docPr id="21" name="Imagen 21" descr="http://admin.cee-sinaloa.org.mx/Sistema/include/Archivos/2/2/Imagenes/FinanciamientoPP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http://admin.cee-sinaloa.org.mx/Sistema/include/Archivos/2/2/Imagenes/FinanciamientoPP201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7F1EC5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7F1EC5">
        <w:rPr>
          <w:rFonts w:ascii="Arial" w:eastAsia="Times New Roman" w:hAnsi="Arial" w:cs="Arial"/>
          <w:b/>
          <w:sz w:val="24"/>
          <w:szCs w:val="24"/>
          <w:lang w:eastAsia="es-MX"/>
        </w:rPr>
        <w:t>Financiamiento público a partidos políticos para el ejercicio 2014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434CDBA8" wp14:editId="76939797">
            <wp:extent cx="5295900" cy="2600325"/>
            <wp:effectExtent l="0" t="0" r="0" b="9525"/>
            <wp:docPr id="22" name="Imagen 22" descr="http://admin.cee-sinaloa.org.mx/Sistema/include/Archivos/2/2/Imagenes/FinanciamientoPP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http://admin.cee-sinaloa.org.mx/Sistema/include/Archivos/2/2/Imagenes/FinanciamientoPP201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7F1EC5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7F1EC5">
        <w:rPr>
          <w:rFonts w:ascii="Arial" w:eastAsia="Times New Roman" w:hAnsi="Arial" w:cs="Arial"/>
          <w:b/>
          <w:sz w:val="24"/>
          <w:szCs w:val="24"/>
          <w:lang w:eastAsia="es-MX"/>
        </w:rPr>
        <w:lastRenderedPageBreak/>
        <w:t>Financiamiento público a partidos políticos para el ejercicio 2013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3AD0757E" wp14:editId="6A382622">
            <wp:extent cx="4333875" cy="2514600"/>
            <wp:effectExtent l="0" t="0" r="9525" b="0"/>
            <wp:docPr id="23" name="Imagen 23" descr="http://admin.cee-sinaloa.org.mx/Sistema/include/Archivos/2/2/Imagenes/FinanciamientoPublico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://admin.cee-sinaloa.org.mx/Sistema/include/Archivos/2/2/Imagenes/FinanciamientoPublico201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C12058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Tope de gastos de precampaña que regirán durante el proceso electoral local 2013</w:t>
      </w:r>
    </w:p>
    <w:p w:rsidR="007F1EC5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Los TOPES DE GASTOS DE PRECAMPAÑA a los que se sujetaran cada uno de los aspirantes a candidatos a Diputados y cada planilla de aspirantes a candidatos para integrar los Ayuntamientos del Estado, lo correspondiente al 20% (veinte por ciento) respecto al tope aprobado en 2010 en cada una de las demarcaciones correspondientes, serán de conformidad con la siguiente tabla: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br/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br/>
      </w: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4C9A15D6" wp14:editId="4E44932D">
            <wp:extent cx="4676775" cy="4362450"/>
            <wp:effectExtent l="0" t="0" r="9525" b="0"/>
            <wp:docPr id="24" name="Imagen 24" descr="http://admin.cee-sinaloa.org.mx/Sistema/include/Archivos/2/2/Imagenes/topesprecampa%C3%B1a2013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http://admin.cee-sinaloa.org.mx/Sistema/include/Archivos/2/2/Imagenes/topesprecampa%C3%B1a2013v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C12058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lastRenderedPageBreak/>
        <w:t>Tope de gastos de campaña que regirán durante el proceso electoral local 2013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Los TOPES DE GASTOS DE CAMPAÑA para cada una de las Formulas de candidatos a Diputados y cada planilla de candidatos para integrar los Ayuntamientos, los cuales no podrán ser rebasados por los mismos, para el proceso electoral 2013 serán de conformidad con la siguiente tabla:</w:t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br/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br/>
      </w: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6862F45A" wp14:editId="37450FD1">
            <wp:extent cx="4686300" cy="4733925"/>
            <wp:effectExtent l="0" t="0" r="0" b="9525"/>
            <wp:docPr id="25" name="Imagen 25" descr="http://admin.cee-sinaloa.org.mx/Sistema/include/Archivos/2/2/Imagenes/topescampa%C3%B1a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://admin.cee-sinaloa.org.mx/Sistema/include/Archivos/2/2/Imagenes/topescampa%C3%B1a201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EC5" w:rsidRP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</w:p>
    <w:p w:rsidR="00C12058" w:rsidRPr="007F1EC5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7F1EC5">
        <w:rPr>
          <w:rFonts w:ascii="Arial" w:eastAsia="Times New Roman" w:hAnsi="Arial" w:cs="Arial"/>
          <w:b/>
          <w:sz w:val="24"/>
          <w:szCs w:val="24"/>
          <w:lang w:eastAsia="es-MX"/>
        </w:rPr>
        <w:t>Financiamiento público a partidos políticos para el ejercicio 2012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61D521EF" wp14:editId="4883C436">
            <wp:extent cx="5567099" cy="2195557"/>
            <wp:effectExtent l="0" t="0" r="0" b="0"/>
            <wp:docPr id="26" name="Imagen 26" descr="http://admin.cee-sinaloa.org.mx/Sistema/include/Archivos/2/2/Imagenes/FPP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http://admin.cee-sinaloa.org.mx/Sistema/include/Archivos/2/2/Imagenes/FPP201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39" cy="2197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2619DF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lastRenderedPageBreak/>
        <w:t>Financiamiento público a partidos políticos para el ejercicio 2011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2D6DAF2E" wp14:editId="63E63512">
            <wp:extent cx="3971925" cy="1815737"/>
            <wp:effectExtent l="0" t="0" r="0" b="0"/>
            <wp:docPr id="27" name="Imagen 27" descr="http://admin.cee-sinaloa.org.mx/Sistema/include/Archivos/2/2/Imagenes/FinanciamientoPartidos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http://admin.cee-sinaloa.org.mx/Sistema/include/Archivos/2/2/Imagenes/FinanciamientoPartidos20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815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EC5" w:rsidRDefault="007F1EC5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t>Tope de gastos de precampaña que regirán durante el proceso electoral local 2010</w:t>
      </w:r>
    </w:p>
    <w:p w:rsidR="007F1EC5" w:rsidRDefault="00C12058" w:rsidP="00C12058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El TOPE DE GASTOS DE PRECAMPAÑA, al que se sujetaran cada uno de los aspirantes a candidatos a Gobernador, lo correspondiente al 30% (treinta por ciento) respecto al tope aprobado en 2004, equivalente a </w:t>
      </w:r>
      <w:r w:rsidRPr="00C12058">
        <w:rPr>
          <w:rFonts w:ascii="Arial" w:eastAsia="Times New Roman" w:hAnsi="Arial" w:cs="Arial"/>
          <w:b/>
          <w:bCs/>
          <w:color w:val="525151"/>
          <w:sz w:val="18"/>
          <w:szCs w:val="18"/>
          <w:lang w:eastAsia="es-MX"/>
        </w:rPr>
        <w:t>$8’109,048.71 (ocho millones ciento nueve mil cuarenta y ocho pesos 71/100 moneda nacional)</w:t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 el cual no podrá ser rebasado por los mismos.</w:t>
      </w:r>
    </w:p>
    <w:p w:rsidR="007F1EC5" w:rsidRDefault="00C12058" w:rsidP="00C12058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Los TOPES DE GASTOS DE PRECAMPAÑA a los que se sujetaran cada uno de los aspirantes a candidatos a Diputados y cada planilla de aspirantes a candidatos para integrar los Ayuntamientos del Estado, lo correspondiente al 20% (veinte por ciento) respecto al tope aprobado en 2007 en cada una de las demarcaciones correspondientes,</w:t>
      </w:r>
      <w:r w:rsidR="007F1EC5">
        <w:rPr>
          <w:rFonts w:ascii="Arial" w:eastAsia="Times New Roman" w:hAnsi="Arial" w:cs="Arial"/>
          <w:color w:val="525151"/>
          <w:sz w:val="18"/>
          <w:szCs w:val="18"/>
          <w:lang w:eastAsia="es-MX"/>
        </w:rPr>
        <w:t xml:space="preserve"> </w:t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serán de conformidad con la siguiente tabla:</w:t>
      </w:r>
    </w:p>
    <w:p w:rsidR="00C12058" w:rsidRPr="00C12058" w:rsidRDefault="00C12058" w:rsidP="00C12058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br/>
      </w: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0B39E728" wp14:editId="4765AEEA">
            <wp:extent cx="3971925" cy="3933825"/>
            <wp:effectExtent l="0" t="0" r="9525" b="9525"/>
            <wp:docPr id="28" name="Imagen 28" descr="http://esh30.esoft.com.mx/Sistema/include/Archivos/2/2/Imagenes/topesprecampa%C3%B1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ttp://esh30.esoft.com.mx/Sistema/include/Archivos/2/2/Imagenes/topesprecampa%C3%B1a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C12058" w:rsidRDefault="00C12058" w:rsidP="00C1205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lastRenderedPageBreak/>
        <w:t>Tope de gastos de campaña que regirán durante el proceso electoral local 2010</w:t>
      </w:r>
    </w:p>
    <w:p w:rsidR="007F1EC5" w:rsidRDefault="00C12058" w:rsidP="00C12058">
      <w:pPr>
        <w:spacing w:line="240" w:lineRule="auto"/>
        <w:jc w:val="both"/>
        <w:rPr>
          <w:rFonts w:ascii="Arial" w:eastAsia="Times New Roman" w:hAnsi="Arial" w:cs="Arial"/>
          <w:color w:val="525151"/>
          <w:sz w:val="24"/>
          <w:szCs w:val="24"/>
          <w:lang w:eastAsia="es-MX"/>
        </w:rPr>
      </w:pPr>
      <w:r w:rsidRPr="007F1EC5">
        <w:rPr>
          <w:rFonts w:ascii="Arial" w:eastAsia="Times New Roman" w:hAnsi="Arial" w:cs="Arial"/>
          <w:color w:val="525151"/>
          <w:sz w:val="24"/>
          <w:szCs w:val="24"/>
          <w:lang w:eastAsia="es-MX"/>
        </w:rPr>
        <w:t>El TOPE DE GASTOS DE CAMPAÑA al que se sujetaran cada uno de los candidatos a Gobernador, será </w:t>
      </w:r>
      <w:r w:rsidRPr="007F1EC5">
        <w:rPr>
          <w:rFonts w:ascii="Arial" w:eastAsia="Times New Roman" w:hAnsi="Arial" w:cs="Arial"/>
          <w:b/>
          <w:bCs/>
          <w:color w:val="525151"/>
          <w:sz w:val="24"/>
          <w:szCs w:val="24"/>
          <w:lang w:eastAsia="es-MX"/>
        </w:rPr>
        <w:t>$25’867,022.28 (veinticinco millones ochocientos sesenta y siete mil veintidós pesos 28/100 moneda nacional)</w:t>
      </w:r>
      <w:r w:rsidRPr="007F1EC5">
        <w:rPr>
          <w:rFonts w:ascii="Arial" w:eastAsia="Times New Roman" w:hAnsi="Arial" w:cs="Arial"/>
          <w:color w:val="525151"/>
          <w:sz w:val="24"/>
          <w:szCs w:val="24"/>
          <w:lang w:eastAsia="es-MX"/>
        </w:rPr>
        <w:t> el cual no podrá ser rebasado por los mismos.</w:t>
      </w:r>
    </w:p>
    <w:p w:rsidR="007F1EC5" w:rsidRDefault="00C12058" w:rsidP="00C12058">
      <w:pPr>
        <w:spacing w:line="240" w:lineRule="auto"/>
        <w:jc w:val="both"/>
        <w:rPr>
          <w:rFonts w:ascii="Arial" w:eastAsia="Times New Roman" w:hAnsi="Arial" w:cs="Arial"/>
          <w:color w:val="525151"/>
          <w:sz w:val="24"/>
          <w:szCs w:val="24"/>
          <w:lang w:eastAsia="es-MX"/>
        </w:rPr>
      </w:pPr>
      <w:r w:rsidRPr="007F1EC5">
        <w:rPr>
          <w:rFonts w:ascii="Arial" w:eastAsia="Times New Roman" w:hAnsi="Arial" w:cs="Arial"/>
          <w:color w:val="525151"/>
          <w:sz w:val="24"/>
          <w:szCs w:val="24"/>
          <w:lang w:eastAsia="es-MX"/>
        </w:rPr>
        <w:t>Los TOPES DE GASTOS DE CAMPAÑA para cada una de las Formulas de candidatos a Diputados y cada planilla de candidatos para integrar los Ayuntamientos, los cuales no podrán ser rebasados por los mismos, serán de conformidad con la siguiente tabla:</w:t>
      </w:r>
    </w:p>
    <w:p w:rsidR="00C12058" w:rsidRPr="00C12058" w:rsidRDefault="00C12058" w:rsidP="002619DF">
      <w:pPr>
        <w:spacing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7F1EC5">
        <w:rPr>
          <w:rFonts w:ascii="Arial" w:eastAsia="Times New Roman" w:hAnsi="Arial" w:cs="Arial"/>
          <w:color w:val="525151"/>
          <w:sz w:val="24"/>
          <w:szCs w:val="24"/>
          <w:lang w:eastAsia="es-MX"/>
        </w:rPr>
        <w:br/>
      </w:r>
      <w:r w:rsidRPr="00C12058">
        <w:rPr>
          <w:rFonts w:ascii="Times New Roman" w:eastAsia="Times New Roman" w:hAnsi="Times New Roman" w:cs="Times New Roman"/>
          <w:noProof/>
          <w:color w:val="525151"/>
          <w:sz w:val="24"/>
          <w:szCs w:val="24"/>
          <w:lang w:eastAsia="es-MX"/>
        </w:rPr>
        <w:drawing>
          <wp:inline distT="0" distB="0" distL="0" distR="0" wp14:anchorId="41FDAE12" wp14:editId="3C0BC886">
            <wp:extent cx="3971925" cy="3952875"/>
            <wp:effectExtent l="0" t="0" r="9525" b="9525"/>
            <wp:docPr id="29" name="Imagen 29" descr="http://esh30.esoft.com.mx/Sistema/include/Archivos/2/2/Imagenes/topescampa%C3%B1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http://esh30.esoft.com.mx/Sistema/include/Archivos/2/2/Imagenes/topescampa%C3%B1as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2058">
        <w:rPr>
          <w:rFonts w:ascii="Times New Roman" w:eastAsia="Times New Roman" w:hAnsi="Times New Roman" w:cs="Times New Roman"/>
          <w:color w:val="525151"/>
          <w:sz w:val="24"/>
          <w:szCs w:val="24"/>
          <w:lang w:eastAsia="es-MX"/>
        </w:rPr>
        <w:br/>
        <w:t> </w:t>
      </w: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t>Financiamiento público a partidos políticos para el ejercicio 2010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noProof/>
          <w:color w:val="525151"/>
          <w:sz w:val="18"/>
          <w:szCs w:val="18"/>
          <w:lang w:eastAsia="es-MX"/>
        </w:rPr>
        <w:drawing>
          <wp:inline distT="0" distB="0" distL="0" distR="0" wp14:anchorId="775C1D30" wp14:editId="23D8BC5D">
            <wp:extent cx="3048000" cy="1885950"/>
            <wp:effectExtent l="0" t="0" r="0" b="0"/>
            <wp:docPr id="30" name="Imagen 30" descr="http://esh30.esoft.com.mx/Sistema/include/Archivos/2/2/Imagenes/financiamientopublico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http://esh30.esoft.com.mx/Sistema/include/Archivos/2/2/Imagenes/financiamientopublico20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lastRenderedPageBreak/>
        <w:t>Financiamiento público a partidos políticos para el ejercicio 2009.</w:t>
      </w:r>
    </w:p>
    <w:tbl>
      <w:tblPr>
        <w:tblW w:w="4372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59"/>
        <w:gridCol w:w="3374"/>
      </w:tblGrid>
      <w:tr w:rsidR="00C12058" w:rsidRPr="00C12058" w:rsidTr="007F1EC5">
        <w:trPr>
          <w:trHeight w:val="446"/>
          <w:tblCellSpacing w:w="15" w:type="dxa"/>
        </w:trPr>
        <w:tc>
          <w:tcPr>
            <w:tcW w:w="281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PARTIDO</w:t>
            </w:r>
          </w:p>
        </w:tc>
        <w:tc>
          <w:tcPr>
            <w:tcW w:w="212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 DE FINANCIAMIENTO PARA EL EJERCICIO 2009 (30%)</w:t>
            </w:r>
          </w:p>
        </w:tc>
      </w:tr>
      <w:tr w:rsidR="00C12058" w:rsidRPr="00C12058" w:rsidTr="0072790D">
        <w:trPr>
          <w:trHeight w:val="216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ACCIÓN NACIONAL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$26,549,586.99</w:t>
            </w:r>
          </w:p>
        </w:tc>
      </w:tr>
      <w:tr w:rsidR="00C12058" w:rsidRPr="00C12058" w:rsidTr="0072790D">
        <w:trPr>
          <w:trHeight w:val="23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REVOLUCIONARIO INSTITUCIONAL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$31,419,304.65</w:t>
            </w:r>
          </w:p>
        </w:tc>
      </w:tr>
      <w:tr w:rsidR="00C12058" w:rsidRPr="00C12058" w:rsidTr="0072790D">
        <w:trPr>
          <w:trHeight w:val="216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DE LA REVOLUCIÓN DEMOCRÁTICA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$7,016,799.01</w:t>
            </w:r>
          </w:p>
        </w:tc>
      </w:tr>
      <w:tr w:rsidR="00C12058" w:rsidRPr="00C12058" w:rsidTr="0072790D">
        <w:trPr>
          <w:trHeight w:val="216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NUEVA ALIANZA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$6,820,182.49</w:t>
            </w:r>
          </w:p>
        </w:tc>
      </w:tr>
      <w:tr w:rsidR="00C12058" w:rsidRPr="00C12058" w:rsidTr="0072790D">
        <w:trPr>
          <w:trHeight w:val="23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2790D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2790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$71,805,873.14</w:t>
            </w:r>
          </w:p>
        </w:tc>
      </w:tr>
      <w:tr w:rsidR="007F1EC5" w:rsidRPr="00C12058" w:rsidTr="0072790D">
        <w:trPr>
          <w:trHeight w:val="23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F1EC5" w:rsidRPr="0072790D" w:rsidRDefault="007F1EC5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F1EC5" w:rsidRPr="0072790D" w:rsidRDefault="007F1EC5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</w:pPr>
          </w:p>
        </w:tc>
      </w:tr>
    </w:tbl>
    <w:p w:rsidR="0072790D" w:rsidRDefault="0072790D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2790D" w:rsidRDefault="0072790D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color w:val="525151"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color w:val="525151"/>
          <w:sz w:val="24"/>
          <w:szCs w:val="24"/>
          <w:lang w:eastAsia="es-MX"/>
        </w:rPr>
        <w:t>Financiamiento público a partidos políticos para el ejercicio 2008.</w:t>
      </w:r>
    </w:p>
    <w:tbl>
      <w:tblPr>
        <w:tblW w:w="475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44"/>
        <w:gridCol w:w="3666"/>
      </w:tblGrid>
      <w:tr w:rsidR="00C12058" w:rsidRPr="007F1EC5" w:rsidTr="00C12058">
        <w:trPr>
          <w:tblCellSpacing w:w="15" w:type="dxa"/>
        </w:trPr>
        <w:tc>
          <w:tcPr>
            <w:tcW w:w="2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PARTIDO</w:t>
            </w:r>
          </w:p>
        </w:tc>
        <w:tc>
          <w:tcPr>
            <w:tcW w:w="2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 DE FINANCIAMIENTO PARA EL EJERCICIO 2008 (20%)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ACCIÓN NACIONAL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$16,864,911.54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REVOLUCIONARIO INSTITUCIONAL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$19,958,268.79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DE LA REVOLUCIÓN DEMOCRÁTICA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$4,457,232.98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PARTIDO NUEVA ALIANZA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$4,332,337.62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$45,612,750.93</w:t>
            </w:r>
          </w:p>
        </w:tc>
      </w:tr>
    </w:tbl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color w:val="525151"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color w:val="525151"/>
          <w:sz w:val="24"/>
          <w:szCs w:val="24"/>
          <w:lang w:eastAsia="es-MX"/>
        </w:rPr>
        <w:t>Financiamiento público a partidos políticos para el ejercicio 2007</w:t>
      </w:r>
    </w:p>
    <w:tbl>
      <w:tblPr>
        <w:tblW w:w="425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28"/>
        <w:gridCol w:w="1592"/>
        <w:gridCol w:w="1575"/>
        <w:gridCol w:w="2719"/>
      </w:tblGrid>
      <w:tr w:rsidR="00C12058" w:rsidRPr="007F1EC5" w:rsidTr="00C12058">
        <w:trPr>
          <w:tblCellSpacing w:w="15" w:type="dxa"/>
        </w:trPr>
        <w:tc>
          <w:tcPr>
            <w:tcW w:w="9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PARTIDO</w:t>
            </w:r>
          </w:p>
        </w:tc>
        <w:tc>
          <w:tcPr>
            <w:tcW w:w="1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50% (2007)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MEDIOS 2007</w:t>
            </w:r>
          </w:p>
        </w:tc>
        <w:tc>
          <w:tcPr>
            <w:tcW w:w="1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 DE FINANCIAMIENTO 2007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$43,810,044.93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$14,603,348.31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$58,413,393.23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$52,113,121.18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$17,371,040.39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$69,484,161.58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$10,897,382.18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$3,632,460.73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$14,529,842.91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$5,464,213.15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$1,821,404.38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$7,285,617.53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PVEM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$4,046,365.55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$1,348,788.52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$5,395,154.07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CONVERGENCIA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$4,056,812.85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$1,352,270.95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$5,409,083.80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NUEVA ALIANZA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$3,168,103.68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$1,056,034.56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$4,224,138.24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ALTERNATIVA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$3,168,103.68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$1,056,034.56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$4,224,138.24</w:t>
            </w:r>
          </w:p>
        </w:tc>
      </w:tr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$126,724,147.20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$42,241,382.40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$168,965,529.60</w:t>
            </w:r>
          </w:p>
        </w:tc>
      </w:tr>
    </w:tbl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7F1EC5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7F1EC5">
        <w:rPr>
          <w:rFonts w:ascii="Arial" w:eastAsia="Times New Roman" w:hAnsi="Arial" w:cs="Arial"/>
          <w:color w:val="525151"/>
          <w:sz w:val="18"/>
          <w:szCs w:val="18"/>
          <w:lang w:eastAsia="es-MX"/>
        </w:rPr>
        <w:lastRenderedPageBreak/>
        <w:t>Tope de gastos de precampaña que regirán durante el proceso electoral local 2007</w:t>
      </w: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tbl>
      <w:tblPr>
        <w:tblpPr w:leftFromText="141" w:rightFromText="141" w:vertAnchor="text" w:horzAnchor="margin" w:tblpY="213"/>
        <w:tblW w:w="43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68"/>
        <w:gridCol w:w="1881"/>
        <w:gridCol w:w="1956"/>
        <w:gridCol w:w="2199"/>
      </w:tblGrid>
      <w:tr w:rsidR="007F1EC5" w:rsidRPr="00C12058" w:rsidTr="00713E8C">
        <w:trPr>
          <w:tblCellSpacing w:w="15" w:type="dxa"/>
        </w:trPr>
        <w:tc>
          <w:tcPr>
            <w:tcW w:w="105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DISTRITO ELECTORAL</w:t>
            </w:r>
          </w:p>
        </w:tc>
        <w:tc>
          <w:tcPr>
            <w:tcW w:w="120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MUNICIPIO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TOPE DE GASTOS DE PRECAMPAÑA PARA LOS ASPIRANTES A CANDIDATOS A DIPUTADOS</w:t>
            </w:r>
          </w:p>
        </w:tc>
        <w:tc>
          <w:tcPr>
            <w:tcW w:w="139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TOPE DE GASTOS DE PRECAMPAÑA PARA CADA PLANILLA DE ASPIRANTES A CANDIDATOS PARA INTEGRAR LOS AYUNTAMIENTOS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CHOIX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$74,007.09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$74,007.09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EL FUERTE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$219,437.45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$219,437.45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III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AHOME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$417,004.05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$804,131.20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IV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AHOME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$387,127.15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SINALOA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$200,037.55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$200,037.55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VI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GUASAVE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$326,403.38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$595,350.13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VII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GUASAVE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$268,946.75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VIII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ANGOSTURA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$105,543.08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$105,543.08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IX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SALV. ALVARADO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$169,979.41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$169,979.41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MOCORITO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$118,129.52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$118,129.52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BADIRAGUATO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$74,973.16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$74,973.16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$475,945.37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$1,619,349.48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XIII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$445,342.70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XIV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$264,702.74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NAVOLATO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$281,782.02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$281,782.02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XVI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COSALÁ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$37,039.30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$37,039.30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XVII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ELOTA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$73,769.91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$73,769.91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XVIII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SAN IGNACIO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$58,307.52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$58,307.52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XIX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MAZATLÁN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$712,148.52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$892,638.44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MAZATLÁN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$180,489.93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XXI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CONCORDIA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$58,558.94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$58,558.94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XXII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ROSARIO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$107,378.57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$107,378.57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XXIII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ESCUINAPA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$105,122.02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$105,122.02</w:t>
            </w:r>
          </w:p>
        </w:tc>
      </w:tr>
      <w:tr w:rsidR="007F1EC5" w:rsidRPr="00C12058" w:rsidTr="00713E8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XXIV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$433,358.67</w:t>
            </w:r>
          </w:p>
        </w:tc>
        <w:tc>
          <w:tcPr>
            <w:tcW w:w="0" w:type="auto"/>
            <w:vAlign w:val="center"/>
            <w:hideMark/>
          </w:tcPr>
          <w:p w:rsidR="007F1EC5" w:rsidRPr="00C12058" w:rsidRDefault="007F1EC5" w:rsidP="00713E8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</w:p>
        </w:tc>
      </w:tr>
    </w:tbl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Pr="00C12058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t>Financiamiento público a partidos políticos para el ejercicio 2006.</w:t>
      </w:r>
    </w:p>
    <w:tbl>
      <w:tblPr>
        <w:tblW w:w="43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85"/>
        <w:gridCol w:w="3319"/>
      </w:tblGrid>
      <w:tr w:rsidR="00C12058" w:rsidRPr="00C12058" w:rsidTr="00C12058">
        <w:trPr>
          <w:tblCellSpacing w:w="15" w:type="dxa"/>
        </w:trPr>
        <w:tc>
          <w:tcPr>
            <w:tcW w:w="2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PARTIDO</w:t>
            </w:r>
          </w:p>
        </w:tc>
        <w:tc>
          <w:tcPr>
            <w:tcW w:w="2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30% (2006)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$31,541,588.57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$37,451,485.72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$8,115,276.93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$4,248,099.37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PVEM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$3,238,915.15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CONVERGENCIA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$3,246,351.25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$87,841,716.99</w:t>
            </w:r>
          </w:p>
        </w:tc>
      </w:tr>
    </w:tbl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t>Financiamiento público a partidos políticos para el ejercicio 2005.</w:t>
      </w:r>
    </w:p>
    <w:tbl>
      <w:tblPr>
        <w:tblW w:w="43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85"/>
        <w:gridCol w:w="3319"/>
      </w:tblGrid>
      <w:tr w:rsidR="00C12058" w:rsidRPr="00C12058" w:rsidTr="00C12058">
        <w:trPr>
          <w:tblCellSpacing w:w="15" w:type="dxa"/>
        </w:trPr>
        <w:tc>
          <w:tcPr>
            <w:tcW w:w="2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PARTIDO</w:t>
            </w:r>
          </w:p>
        </w:tc>
        <w:tc>
          <w:tcPr>
            <w:tcW w:w="2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20% (2005)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$20,219,849.76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$24,008,410.77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$5,202,327.71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$2,723,259.51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PVEM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$2,076,318.31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CONVERGENCIA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$2,081,085.24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hyperlink r:id="rId16" w:history="1">
              <w:r w:rsidRPr="00C12058">
                <w:rPr>
                  <w:rFonts w:ascii="Arial" w:eastAsia="Times New Roman" w:hAnsi="Arial" w:cs="Arial"/>
                  <w:color w:val="525151"/>
                  <w:sz w:val="20"/>
                  <w:szCs w:val="20"/>
                  <w:u w:val="single"/>
                  <w:bdr w:val="none" w:sz="0" w:space="0" w:color="auto" w:frame="1"/>
                  <w:lang w:eastAsia="es-MX"/>
                </w:rPr>
                <w:t>PBS (REGISTRO CANCELADO)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$2,334,099.49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$58,645,350.80</w:t>
            </w:r>
          </w:p>
        </w:tc>
      </w:tr>
    </w:tbl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2619DF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MX"/>
        </w:rPr>
      </w:pPr>
      <w:r w:rsidRPr="002619DF">
        <w:rPr>
          <w:rFonts w:ascii="Arial" w:eastAsia="Times New Roman" w:hAnsi="Arial" w:cs="Arial"/>
          <w:b/>
          <w:sz w:val="24"/>
          <w:szCs w:val="24"/>
          <w:lang w:eastAsia="es-MX"/>
        </w:rPr>
        <w:t>Financiamiento público a partidos políticos para el ejercicio 2004.</w:t>
      </w:r>
    </w:p>
    <w:tbl>
      <w:tblPr>
        <w:tblW w:w="44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78"/>
        <w:gridCol w:w="1809"/>
        <w:gridCol w:w="1886"/>
        <w:gridCol w:w="2210"/>
      </w:tblGrid>
      <w:tr w:rsidR="00C12058" w:rsidRPr="00C12058" w:rsidTr="00C12058">
        <w:trPr>
          <w:tblCellSpacing w:w="15" w:type="dxa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PARTIDO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50% (2004)</w:t>
            </w:r>
          </w:p>
        </w:tc>
        <w:tc>
          <w:tcPr>
            <w:tcW w:w="12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MEDIOS 2004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TOTAL 2004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$37,318,560.60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$9,329,640.15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$46,648,200.75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$58,207,840.80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$14,551,960.20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$72,759,801.01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PRD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$16,559,248.87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$4,139,812.22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$20,699,061.08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$11,157,081.14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$2,789,270.28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$13,946,351.42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PVEM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$4,886,138.67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$1,221,534.67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$6,107,673.33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CONVERGENCIA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$4,742,550.31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$1,185,637.58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$5,928,187.89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PBS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$7,284,977.01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$1,821,244.25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$9,106,221.27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MX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$140,156,397.40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$35,039,099.35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0"/>
                <w:szCs w:val="20"/>
                <w:lang w:eastAsia="es-MX"/>
              </w:rPr>
              <w:t>$175,195,496.75</w:t>
            </w:r>
          </w:p>
        </w:tc>
      </w:tr>
    </w:tbl>
    <w:p w:rsidR="007F1EC5" w:rsidRDefault="007F1EC5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2619DF" w:rsidRDefault="002619DF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</w:p>
    <w:p w:rsidR="00C12058" w:rsidRPr="00C12058" w:rsidRDefault="00C12058" w:rsidP="00C12058">
      <w:pPr>
        <w:shd w:val="clear" w:color="auto" w:fill="FFFFFF"/>
        <w:spacing w:after="150" w:line="240" w:lineRule="auto"/>
        <w:jc w:val="both"/>
        <w:rPr>
          <w:rFonts w:ascii="Arial" w:eastAsia="Times New Roman" w:hAnsi="Arial" w:cs="Arial"/>
          <w:color w:val="525151"/>
          <w:sz w:val="18"/>
          <w:szCs w:val="18"/>
          <w:lang w:eastAsia="es-MX"/>
        </w:rPr>
      </w:pPr>
      <w:r w:rsidRPr="00C12058">
        <w:rPr>
          <w:rFonts w:ascii="Arial" w:eastAsia="Times New Roman" w:hAnsi="Arial" w:cs="Arial"/>
          <w:color w:val="525151"/>
          <w:sz w:val="18"/>
          <w:szCs w:val="18"/>
          <w:lang w:eastAsia="es-MX"/>
        </w:rPr>
        <w:lastRenderedPageBreak/>
        <w:t>Tope de gastos de campaña que regirán durante el proceso electoral local 2004</w:t>
      </w:r>
    </w:p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vanish/>
          <w:color w:val="525151"/>
          <w:sz w:val="18"/>
          <w:szCs w:val="18"/>
          <w:lang w:eastAsia="es-MX"/>
        </w:rPr>
      </w:pPr>
    </w:p>
    <w:tbl>
      <w:tblPr>
        <w:tblW w:w="435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3"/>
        <w:gridCol w:w="2552"/>
        <w:gridCol w:w="2017"/>
        <w:gridCol w:w="2261"/>
      </w:tblGrid>
      <w:tr w:rsidR="00C12058" w:rsidRPr="00C12058" w:rsidTr="00C12058">
        <w:trPr>
          <w:tblCellSpacing w:w="15" w:type="dxa"/>
        </w:trPr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2619DF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MX"/>
              </w:rPr>
            </w:pPr>
            <w:r w:rsidRPr="002619DF">
              <w:rPr>
                <w:rFonts w:ascii="Arial" w:eastAsia="Times New Roman" w:hAnsi="Arial" w:cs="Arial"/>
                <w:b/>
                <w:bCs/>
                <w:lang w:eastAsia="es-MX"/>
              </w:rPr>
              <w:t>DTO.</w:t>
            </w:r>
          </w:p>
        </w:tc>
        <w:tc>
          <w:tcPr>
            <w:tcW w:w="16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2619DF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MX"/>
              </w:rPr>
            </w:pPr>
            <w:r w:rsidRPr="002619DF">
              <w:rPr>
                <w:rFonts w:ascii="Arial" w:eastAsia="Times New Roman" w:hAnsi="Arial" w:cs="Arial"/>
                <w:b/>
                <w:bCs/>
                <w:lang w:eastAsia="es-MX"/>
              </w:rPr>
              <w:t>MUNICIPIO</w:t>
            </w:r>
          </w:p>
        </w:tc>
        <w:tc>
          <w:tcPr>
            <w:tcW w:w="13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2619DF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MX"/>
              </w:rPr>
            </w:pPr>
            <w:r w:rsidRPr="002619DF">
              <w:rPr>
                <w:rFonts w:ascii="Arial" w:eastAsia="Times New Roman" w:hAnsi="Arial" w:cs="Arial"/>
                <w:b/>
                <w:bCs/>
                <w:lang w:eastAsia="es-MX"/>
              </w:rPr>
              <w:t>TOPE DE CAMPAÑA POR DISTRITO ELECCIÓN DE DIPUTADO</w:t>
            </w:r>
          </w:p>
        </w:tc>
        <w:tc>
          <w:tcPr>
            <w:tcW w:w="1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2619DF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MX"/>
              </w:rPr>
            </w:pPr>
            <w:r w:rsidRPr="002619DF">
              <w:rPr>
                <w:rFonts w:ascii="Arial" w:eastAsia="Times New Roman" w:hAnsi="Arial" w:cs="Arial"/>
                <w:b/>
                <w:bCs/>
                <w:lang w:eastAsia="es-MX"/>
              </w:rPr>
              <w:t>TOPE DE CAMPAÑA POR MUNICIPIO ELECCIÓN DE PRESIDENTE MUNICIPAL, SINDICO PROCURADOR Y REGIDORES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CHOIX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$370,035.47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$370,035.47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EL FUERTE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$1,097,187.23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$1,097,187.23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AHOME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$2,085,020.23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$4,020,655.98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AHOME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$1,935,635.75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SINALOA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$1,000,187.77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$1,000,187.77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GUASAVE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$1,632,016.91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$2,976,750.67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GUASAVE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$1,344,733.76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ANGOSTURA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$527,715.40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$527,715.40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SALVADOR ALVARADO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$849,897.06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$849,897.06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MOCORITO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$590,647.61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$590,647.61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BADIRAGUATO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$374,865.82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$374,865.82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$2,379,726.83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$8,096,747.40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$2,226,713.50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$1,323,513.72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NAVOLATO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$1,408,910.10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$1,408,910.10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COSALÁ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$185,196.48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$185,196.48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ELOTA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$368,849.56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$368,849.56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SAN IGNACIO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$291,537.60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$291,537.60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MAZATLÁN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$3,560,742.58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$4,463,192.20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MAZATLÁN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$902,449.63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CONCORDIA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$292,794.70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$292,794.70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ROSARIO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$536,892.84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$536,892.84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ESCUINAPA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$525,610.12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$525,610.12</w:t>
            </w: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CULIACÁN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$2,166,793.36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</w:p>
        </w:tc>
      </w:tr>
      <w:tr w:rsidR="00C12058" w:rsidRPr="00C12058" w:rsidTr="00C12058">
        <w:trPr>
          <w:tblCellSpacing w:w="15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TOTALES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$27,977,674.02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C12058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C1205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$27,977,674.02</w:t>
            </w:r>
          </w:p>
        </w:tc>
      </w:tr>
    </w:tbl>
    <w:p w:rsidR="00C12058" w:rsidRPr="00C12058" w:rsidRDefault="00C12058" w:rsidP="00C12058">
      <w:pPr>
        <w:spacing w:after="150" w:line="240" w:lineRule="auto"/>
        <w:jc w:val="both"/>
        <w:rPr>
          <w:rFonts w:ascii="Arial" w:eastAsia="Times New Roman" w:hAnsi="Arial" w:cs="Arial"/>
          <w:vanish/>
          <w:color w:val="525151"/>
          <w:sz w:val="18"/>
          <w:szCs w:val="18"/>
          <w:lang w:eastAsia="es-MX"/>
        </w:rPr>
      </w:pPr>
    </w:p>
    <w:tbl>
      <w:tblPr>
        <w:tblW w:w="435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1"/>
        <w:gridCol w:w="2332"/>
      </w:tblGrid>
      <w:tr w:rsidR="00C12058" w:rsidRPr="007F1EC5" w:rsidTr="00C12058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t>TOPE DE CAMPAÑA </w:t>
            </w:r>
            <w:r w:rsidRPr="007F1EC5">
              <w:rPr>
                <w:rFonts w:ascii="Arial" w:eastAsia="Times New Roman" w:hAnsi="Arial" w:cs="Arial"/>
                <w:sz w:val="24"/>
                <w:szCs w:val="24"/>
                <w:lang w:eastAsia="es-MX"/>
              </w:rPr>
              <w:br/>
              <w:t>PARA LA ELECCIÓN DE GOBERNADOR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12058" w:rsidRPr="007F1EC5" w:rsidRDefault="00C12058" w:rsidP="00C1205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4"/>
                <w:szCs w:val="24"/>
                <w:lang w:eastAsia="es-MX"/>
              </w:rPr>
            </w:pPr>
            <w:r w:rsidRPr="007F1EC5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MX"/>
              </w:rPr>
              <w:t>$ 27, 030, 162.36</w:t>
            </w:r>
          </w:p>
        </w:tc>
      </w:tr>
    </w:tbl>
    <w:p w:rsidR="00C12058" w:rsidRDefault="00C12058" w:rsidP="0010671D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sz w:val="24"/>
          <w:szCs w:val="24"/>
        </w:rPr>
      </w:pPr>
      <w:bookmarkStart w:id="0" w:name="_GoBack"/>
      <w:bookmarkEnd w:id="0"/>
    </w:p>
    <w:sectPr w:rsidR="00C1205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7A0C30"/>
    <w:multiLevelType w:val="multilevel"/>
    <w:tmpl w:val="7FC4E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35D"/>
    <w:rsid w:val="0010671D"/>
    <w:rsid w:val="002619DF"/>
    <w:rsid w:val="0072790D"/>
    <w:rsid w:val="007F1EC5"/>
    <w:rsid w:val="008931A2"/>
    <w:rsid w:val="00AB3C02"/>
    <w:rsid w:val="00C12058"/>
    <w:rsid w:val="00D92064"/>
    <w:rsid w:val="00EF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12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120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12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120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878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048577">
          <w:marLeft w:val="0"/>
          <w:marRight w:val="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2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FFFFFF"/>
            <w:right w:val="none" w:sz="0" w:space="0" w:color="auto"/>
          </w:divBdr>
        </w:div>
        <w:div w:id="39658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0649">
          <w:marLeft w:val="0"/>
          <w:marRight w:val="0"/>
          <w:marTop w:val="285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722560">
          <w:marLeft w:val="105"/>
          <w:marRight w:val="10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815054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295041">
                  <w:marLeft w:val="0"/>
                  <w:marRight w:val="0"/>
                  <w:marTop w:val="300"/>
                  <w:marBottom w:val="0"/>
                  <w:divBdr>
                    <w:top w:val="single" w:sz="6" w:space="0" w:color="B5856F"/>
                    <w:left w:val="single" w:sz="6" w:space="0" w:color="B5856F"/>
                    <w:bottom w:val="single" w:sz="6" w:space="0" w:color="B5856F"/>
                    <w:right w:val="single" w:sz="6" w:space="0" w:color="B5856F"/>
                  </w:divBdr>
                  <w:divsChild>
                    <w:div w:id="1908958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0" w:color="B5856F"/>
                        <w:right w:val="none" w:sz="0" w:space="0" w:color="auto"/>
                      </w:divBdr>
                    </w:div>
                    <w:div w:id="1221483697">
                      <w:marLeft w:val="120"/>
                      <w:marRight w:val="105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14" w:color="B5856F"/>
                        <w:right w:val="none" w:sz="0" w:space="0" w:color="auto"/>
                      </w:divBdr>
                    </w:div>
                    <w:div w:id="678703291">
                      <w:marLeft w:val="120"/>
                      <w:marRight w:val="105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14" w:color="B5856F"/>
                        <w:right w:val="none" w:sz="0" w:space="0" w:color="auto"/>
                      </w:divBdr>
                    </w:div>
                    <w:div w:id="90903594">
                      <w:marLeft w:val="120"/>
                      <w:marRight w:val="105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19979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1055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860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2613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0758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600959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59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6149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441258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52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806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8058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3167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281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60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865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24469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934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4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106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16371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928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145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17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49838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266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1783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963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91879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148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253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3273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241342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096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617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86883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71809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695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564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4960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95842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04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490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7180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96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682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34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66614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85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297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750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93825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173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02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304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56338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169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9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9336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323385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495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905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004454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664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114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247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7061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652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8671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357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cee-sinaloa.org.mx/pagina.php?m_id=141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1119</Words>
  <Characters>6156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claudia</dc:creator>
  <cp:lastModifiedBy>claudia</cp:lastModifiedBy>
  <cp:revision>2</cp:revision>
  <dcterms:created xsi:type="dcterms:W3CDTF">2015-10-14T16:29:00Z</dcterms:created>
  <dcterms:modified xsi:type="dcterms:W3CDTF">2015-10-14T16:29:00Z</dcterms:modified>
</cp:coreProperties>
</file>